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C5" w:rsidRPr="006753CD" w:rsidRDefault="00DC2FC5" w:rsidP="00DC2FC5">
      <w:pPr>
        <w:tabs>
          <w:tab w:val="left" w:pos="454"/>
          <w:tab w:val="left" w:pos="5300"/>
          <w:tab w:val="left" w:pos="6717"/>
          <w:tab w:val="left" w:pos="799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ar-SA"/>
        </w:rPr>
      </w:pPr>
      <w:r w:rsidRPr="006753CD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ar-SA"/>
        </w:rPr>
        <w:t>Φύλλο Συμμόρφωσης.</w:t>
      </w:r>
    </w:p>
    <w:p w:rsidR="00DC2FC5" w:rsidRPr="006753CD" w:rsidRDefault="00DC2FC5" w:rsidP="00DC2FC5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sz w:val="32"/>
          <w:szCs w:val="24"/>
          <w:u w:val="single"/>
          <w:lang w:eastAsia="ar-SA"/>
        </w:rPr>
      </w:pPr>
      <w:r w:rsidRPr="006753CD">
        <w:rPr>
          <w:rFonts w:ascii="Calibri" w:eastAsia="Times New Roman" w:hAnsi="Calibri" w:cs="Calibri"/>
          <w:b/>
          <w:szCs w:val="24"/>
          <w:lang w:eastAsia="ar-SA"/>
        </w:rPr>
        <w:t>Όχημα συλλογής χωρητικότητας 2,5</w:t>
      </w:r>
      <w:r w:rsidRPr="006753CD">
        <w:rPr>
          <w:rFonts w:ascii="Calibri" w:eastAsia="Times New Roman" w:hAnsi="Calibri" w:cs="Calibri"/>
          <w:b/>
          <w:szCs w:val="24"/>
          <w:lang w:val="en-GB" w:eastAsia="ar-SA"/>
        </w:rPr>
        <w:t>m</w:t>
      </w:r>
      <w:r w:rsidRPr="006753CD">
        <w:rPr>
          <w:rFonts w:ascii="Calibri" w:eastAsia="Times New Roman" w:hAnsi="Calibri" w:cs="Calibri"/>
          <w:b/>
          <w:szCs w:val="24"/>
          <w:vertAlign w:val="superscript"/>
          <w:lang w:eastAsia="ar-SA"/>
        </w:rPr>
        <w:t>3</w:t>
      </w:r>
    </w:p>
    <w:tbl>
      <w:tblPr>
        <w:tblW w:w="100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"/>
        <w:gridCol w:w="4575"/>
        <w:gridCol w:w="1417"/>
        <w:gridCol w:w="1276"/>
        <w:gridCol w:w="1985"/>
      </w:tblGrid>
      <w:tr w:rsidR="00DC2FC5" w:rsidRPr="006753CD" w:rsidTr="003C0887">
        <w:trPr>
          <w:cantSplit/>
          <w:trHeight w:val="16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FC5" w:rsidRPr="006753CD" w:rsidRDefault="00DC2FC5" w:rsidP="003C0887">
            <w:pPr>
              <w:suppressAutoHyphens/>
              <w:spacing w:after="0" w:line="240" w:lineRule="auto"/>
              <w:ind w:left="115"/>
              <w:contextualSpacing/>
              <w:jc w:val="both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Α/Α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FC5" w:rsidRPr="006753CD" w:rsidRDefault="00DC2FC5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ΠΕΡΙΓΡΑΦΗ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FC5" w:rsidRPr="006753CD" w:rsidRDefault="00DC2FC5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FC5" w:rsidRPr="006753CD" w:rsidRDefault="00DC2FC5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ΑΠΑΝΤΗΣΗ*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2FC5" w:rsidRPr="006753CD" w:rsidRDefault="00DC2FC5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ΠΑΡΑΤΗΡΗΣΕΙΣ</w:t>
            </w:r>
          </w:p>
        </w:tc>
      </w:tr>
      <w:tr w:rsidR="00DC2FC5" w:rsidRPr="006753CD" w:rsidTr="003C0887">
        <w:trPr>
          <w:cantSplit/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Γενικά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 xml:space="preserve"> χαρα</w:t>
            </w: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κτηριστικά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.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Αυτοκίνητο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 xml:space="preserve"> πλα</w:t>
            </w: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ίσιο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.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trHeight w:val="9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bookmarkStart w:id="0" w:name="_Ref46137559"/>
          </w:p>
        </w:tc>
        <w:bookmarkEnd w:id="0"/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Υπ</w:t>
            </w: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ερκ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ατασκευή.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rPr>
                <w:rFonts w:ascii="Calibri" w:eastAsia="Times New Roman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Συστήμ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ατα α</w:t>
            </w: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>σφ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  <w:t xml:space="preserve">αλείας. 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Ποιότητ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α, Κατα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λληλότητ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 xml:space="preserve">α και 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Αξιο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 xml:space="preserve">πιστία. 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Τεχνική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 xml:space="preserve"> Υπ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οστήριξη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 xml:space="preserve"> και 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Κάλυψη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.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cantSplit/>
          <w:trHeight w:val="9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Δείγμ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α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Εκ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 xml:space="preserve">παίδευση 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Προσω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πικού.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cantSplit/>
          <w:trHeight w:val="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Πα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ράδοση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 xml:space="preserve"> 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Οχημάτων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  <w:t>.</w:t>
            </w:r>
          </w:p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DC2FC5" w:rsidRPr="006753CD" w:rsidTr="003C0887">
        <w:trPr>
          <w:cantSplit/>
          <w:trHeight w:val="12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DC2FC5">
            <w:pPr>
              <w:keepNext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val="en-GB" w:eastAsia="ar-S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>Συμπληρωματικά Στοιχεία της Τεχνικής Προσφοράς.</w:t>
            </w:r>
          </w:p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5" w:rsidRPr="006753CD" w:rsidRDefault="00DC2FC5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5" w:rsidRPr="006753CD" w:rsidRDefault="00DC2FC5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</w:tbl>
    <w:p w:rsidR="00DC2FC5" w:rsidRPr="006753CD" w:rsidRDefault="00DC2FC5" w:rsidP="00DC2FC5">
      <w:pPr>
        <w:suppressAutoHyphens/>
        <w:spacing w:after="120" w:line="276" w:lineRule="auto"/>
        <w:jc w:val="both"/>
        <w:rPr>
          <w:rFonts w:ascii="Calibri" w:eastAsia="Times New Roman" w:hAnsi="Calibri" w:cs="Calibri"/>
          <w:szCs w:val="24"/>
          <w:lang w:val="en-GB" w:eastAsia="ar-SA"/>
        </w:rPr>
      </w:pPr>
      <w:r w:rsidRPr="006753CD">
        <w:rPr>
          <w:rFonts w:ascii="Calibri" w:eastAsia="Times New Roman" w:hAnsi="Calibri" w:cs="Calibri"/>
          <w:szCs w:val="24"/>
          <w:lang w:val="en-GB" w:eastAsia="ar-SA"/>
        </w:rPr>
        <w:t xml:space="preserve">                            </w:t>
      </w:r>
      <w:r w:rsidRPr="006753CD">
        <w:rPr>
          <w:rFonts w:ascii="Calibri" w:eastAsia="Times New Roman" w:hAnsi="Calibri" w:cs="Calibri"/>
          <w:szCs w:val="24"/>
          <w:lang w:val="en-GB" w:eastAsia="ar-SA"/>
        </w:rPr>
        <w:tab/>
      </w:r>
      <w:r w:rsidRPr="006753CD">
        <w:rPr>
          <w:rFonts w:ascii="Calibri" w:eastAsia="Times New Roman" w:hAnsi="Calibri" w:cs="Calibri"/>
          <w:szCs w:val="24"/>
          <w:lang w:val="en-GB" w:eastAsia="ar-SA"/>
        </w:rPr>
        <w:tab/>
      </w:r>
    </w:p>
    <w:p w:rsidR="00DC2FC5" w:rsidRPr="006753CD" w:rsidRDefault="00DC2FC5" w:rsidP="00DC2FC5">
      <w:pPr>
        <w:suppressAutoHyphens/>
        <w:spacing w:after="120" w:line="276" w:lineRule="auto"/>
        <w:jc w:val="both"/>
        <w:rPr>
          <w:rFonts w:ascii="Calibri" w:eastAsia="Times New Roman" w:hAnsi="Calibri" w:cs="Calibri"/>
          <w:i/>
          <w:iCs/>
          <w:szCs w:val="24"/>
          <w:lang w:eastAsia="ar-SA"/>
        </w:rPr>
      </w:pPr>
      <w:r w:rsidRPr="006753CD">
        <w:rPr>
          <w:rFonts w:ascii="Calibri" w:eastAsia="Times New Roman" w:hAnsi="Calibri" w:cs="Calibri"/>
          <w:i/>
          <w:iCs/>
          <w:szCs w:val="24"/>
          <w:lang w:eastAsia="ar-SA"/>
        </w:rPr>
        <w:t>* Η στήλη συμπληρώνεται από τον υποψήφιο προμηθευτή.</w:t>
      </w:r>
    </w:p>
    <w:p w:rsidR="00342227" w:rsidRDefault="00342227">
      <w:bookmarkStart w:id="1" w:name="_GoBack"/>
      <w:bookmarkEnd w:id="1"/>
    </w:p>
    <w:sectPr w:rsidR="00342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A"/>
    <w:rsid w:val="00342227"/>
    <w:rsid w:val="00DC2FC5"/>
    <w:rsid w:val="00F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2330-5B67-478D-8508-1E0CDBD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2020-09-01T10:33:00Z</dcterms:created>
  <dcterms:modified xsi:type="dcterms:W3CDTF">2020-09-01T10:36:00Z</dcterms:modified>
</cp:coreProperties>
</file>