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13F8" w14:textId="77777777" w:rsidR="00DF3989" w:rsidRPr="006D2CE3" w:rsidRDefault="00DF3989" w:rsidP="00DF3989">
      <w:pPr>
        <w:pStyle w:val="2"/>
        <w:tabs>
          <w:tab w:val="clear" w:pos="567"/>
          <w:tab w:val="left" w:pos="0"/>
        </w:tabs>
        <w:spacing w:before="57" w:after="120" w:line="312" w:lineRule="auto"/>
        <w:ind w:left="0" w:firstLine="0"/>
        <w:rPr>
          <w:rFonts w:asciiTheme="minorHAnsi" w:hAnsiTheme="minorHAnsi" w:cstheme="minorHAnsi"/>
          <w:lang w:val="el-GR"/>
        </w:rPr>
      </w:pPr>
      <w:bookmarkStart w:id="0" w:name="_Toc141957887"/>
      <w:r w:rsidRPr="006D2CE3">
        <w:rPr>
          <w:rFonts w:asciiTheme="minorHAnsi" w:hAnsiTheme="minorHAnsi" w:cstheme="minorHAnsi"/>
          <w:lang w:val="el-GR"/>
        </w:rPr>
        <w:t>ΠΑΡΑΡΤΗΜΑ ΙΙ – Πίνακας Συμμόρφωσης</w:t>
      </w:r>
      <w:bookmarkEnd w:id="0"/>
    </w:p>
    <w:p w14:paraId="0513FC52" w14:textId="77777777" w:rsidR="00DF3989" w:rsidRPr="006D2CE3" w:rsidRDefault="00DF3989" w:rsidP="00DF3989">
      <w:pPr>
        <w:spacing w:after="100" w:line="312" w:lineRule="auto"/>
        <w:rPr>
          <w:lang w:val="el-GR"/>
        </w:rPr>
      </w:pPr>
      <w:r w:rsidRPr="006D2CE3">
        <w:rPr>
          <w:lang w:val="el-GR"/>
        </w:rPr>
        <w:t>Τα προσφερόμενα Είδη πρέπει να καλύπτουν τις τιθέμενες στο Παράρτημα Ι προδιαγραφές</w:t>
      </w:r>
      <w:r>
        <w:rPr>
          <w:lang w:val="el-GR"/>
        </w:rPr>
        <w:t xml:space="preserve"> για την </w:t>
      </w:r>
      <w:r w:rsidRPr="006D2CE3">
        <w:rPr>
          <w:lang w:val="el-GR"/>
        </w:rPr>
        <w:t>«</w:t>
      </w:r>
      <w:r w:rsidRPr="00A5799D">
        <w:rPr>
          <w:lang w:val="el-GR"/>
        </w:rPr>
        <w:t>ΠΡΟΜΗΘΕΙΑ-ΕΓΚΑΤΑΣΤΑΣΗ ΣΤΑΘΜΟΥ ΦΟΡΤΙΣΗΣ ΗΛΕΚΤΡΙΚΩΝ ΟΧΗΜΑΤΩΝ ΣΤΟ ΓΥΜΝΑΣΙΟ-ΛΥΚΕΙΟ ΑΓ. ΜΥΡΩΝΑ ΚΑΙ ΠΡΟΜΗΘΕΙΑ ΗΛΕΚΤΡΙΚΟΥ MINIBUS</w:t>
      </w:r>
      <w:r w:rsidRPr="006D2CE3">
        <w:rPr>
          <w:lang w:val="el-GR"/>
        </w:rPr>
        <w:t>».</w:t>
      </w:r>
      <w:r>
        <w:rPr>
          <w:lang w:val="el-GR"/>
        </w:rPr>
        <w:t xml:space="preserve"> </w:t>
      </w:r>
      <w:r w:rsidRPr="006D2CE3">
        <w:rPr>
          <w:lang w:val="el-GR"/>
        </w:rPr>
        <w:t xml:space="preserve">Η κάλυψη των προδιαγραφών τεκμηριώνεται συμπληρώνοντας τον Πίνακα Συμμόρφωσης με σχετική παραπομπή σε συγκεκριμένο αρχείο που επισυνάπτεται στην τεχνική προσφορά. </w:t>
      </w:r>
    </w:p>
    <w:p w14:paraId="6AC3867D" w14:textId="77777777" w:rsidR="00DF3989" w:rsidRPr="006D2CE3" w:rsidRDefault="00DF3989" w:rsidP="00DF3989">
      <w:pPr>
        <w:spacing w:after="100" w:line="312" w:lineRule="auto"/>
        <w:rPr>
          <w:lang w:val="el-GR"/>
        </w:rPr>
      </w:pPr>
      <w:r w:rsidRPr="006D2CE3">
        <w:rPr>
          <w:lang w:val="el-GR"/>
        </w:rPr>
        <w:t xml:space="preserve">Η τεχνική προσφορά περιλαμβάνει </w:t>
      </w:r>
      <w:r w:rsidRPr="006D2CE3">
        <w:rPr>
          <w:u w:val="single"/>
          <w:lang w:val="el-GR"/>
        </w:rPr>
        <w:t>επί ποινή αποκλεισμού</w:t>
      </w:r>
      <w:r w:rsidRPr="006D2CE3">
        <w:rPr>
          <w:lang w:val="el-GR"/>
        </w:rPr>
        <w:t xml:space="preserve"> συμπληρωμένο τον Πίνακα Συμμόρφωσης.</w:t>
      </w:r>
    </w:p>
    <w:p w14:paraId="6A0B6C28" w14:textId="77777777" w:rsidR="00DF3989" w:rsidRPr="006D2CE3" w:rsidRDefault="00DF3989" w:rsidP="00DF3989">
      <w:pPr>
        <w:spacing w:line="312" w:lineRule="auto"/>
        <w:jc w:val="center"/>
        <w:rPr>
          <w:rFonts w:asciiTheme="minorHAnsi" w:hAnsiTheme="minorHAnsi" w:cstheme="minorHAnsi"/>
          <w:b/>
          <w:sz w:val="24"/>
          <w:u w:val="single"/>
          <w:lang w:val="el-GR"/>
        </w:rPr>
      </w:pPr>
      <w:r w:rsidRPr="006D2CE3">
        <w:rPr>
          <w:rFonts w:asciiTheme="minorHAnsi" w:hAnsiTheme="minorHAnsi" w:cstheme="minorHAnsi"/>
          <w:b/>
          <w:sz w:val="24"/>
          <w:u w:val="single"/>
          <w:lang w:val="el-GR"/>
        </w:rPr>
        <w:t>ΠΙΝΑΚΑΣ ΣΥΜΜΟΡΦΩΣΗΣ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187"/>
        <w:gridCol w:w="1260"/>
        <w:gridCol w:w="2242"/>
      </w:tblGrid>
      <w:tr w:rsidR="00DF3989" w:rsidRPr="00174510" w14:paraId="0840726E" w14:textId="77777777" w:rsidTr="00232E75">
        <w:trPr>
          <w:trHeight w:val="70"/>
          <w:tblHeader/>
          <w:jc w:val="center"/>
        </w:trPr>
        <w:tc>
          <w:tcPr>
            <w:tcW w:w="9843" w:type="dxa"/>
            <w:gridSpan w:val="4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5341394F" w14:textId="77777777" w:rsidR="00DF3989" w:rsidRPr="00C1045C" w:rsidRDefault="00DF3989" w:rsidP="00232E75">
            <w:pPr>
              <w:spacing w:before="40" w:after="40"/>
              <w:ind w:right="3781"/>
              <w:rPr>
                <w:rFonts w:asciiTheme="minorHAnsi" w:hAnsiTheme="minorHAnsi" w:cstheme="minorHAnsi"/>
                <w:sz w:val="20"/>
                <w:szCs w:val="20"/>
                <w:u w:val="single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l-GR"/>
              </w:rPr>
              <w:t>Α. ΕΝΑ (1) ΗΛΕΚΤΡΟΚΙΝΗΤΟ ΛΕΩΦΟΡΕΙΟ MINIBUS ΚΑΙ ΕΝΑΣ (1) ΣΤΑΘΜΟΣ ΦΟΡΤΙΣΗΣ ΗΛΕΚΤΡΙΚΩΝ ΟΧΗΜΑΤΩΝ</w:t>
            </w:r>
          </w:p>
        </w:tc>
      </w:tr>
      <w:tr w:rsidR="00DF3989" w:rsidRPr="00C1045C" w14:paraId="37402D4A" w14:textId="77777777" w:rsidTr="00232E75">
        <w:trPr>
          <w:tblHeader/>
          <w:jc w:val="center"/>
        </w:trPr>
        <w:tc>
          <w:tcPr>
            <w:tcW w:w="5154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2B729A90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ΠΡΟΔΙΑΓΡΑΦΗ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66A04D6B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2EC6EA2C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ΑΠΑΝΤΗΣΗ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20126DD5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ΠΑΡΑΠΟΜΠΗ</w:t>
            </w:r>
          </w:p>
          <w:p w14:paraId="7E0C41AB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ΤΕΚΜΗΡΙΩΣΗΣ</w:t>
            </w:r>
          </w:p>
        </w:tc>
      </w:tr>
      <w:tr w:rsidR="00DF3989" w:rsidRPr="00C1045C" w14:paraId="736C983B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164693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Α.1 ΗΛΕΚΤΡΙΚΟ ΛΕΩΦΟΡΕΙΟ MINIBUS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9E554F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3BA4B9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2B0BB3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</w:tr>
      <w:tr w:rsidR="00DF3989" w:rsidRPr="00174510" w14:paraId="1D69A00B" w14:textId="77777777" w:rsidTr="00232E75">
        <w:trPr>
          <w:trHeight w:val="475"/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191735" w14:textId="77777777" w:rsidR="00DF3989" w:rsidRPr="00C1045C" w:rsidRDefault="00DF3989" w:rsidP="00232E75">
            <w:pPr>
              <w:pStyle w:val="a4"/>
              <w:numPr>
                <w:ilvl w:val="0"/>
                <w:numId w:val="1"/>
              </w:numPr>
              <w:suppressAutoHyphens w:val="0"/>
              <w:spacing w:before="40" w:after="4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ΑΜΑΞΩΜΑ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ΜΕΤΑΦΟΡΙΚΗ ΙΚΑΝΟΤΗΤΑ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ΕΞΟΠΛΙΣΜΟΣ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ΔΙΑΣΤΑΣΕΙΣ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C04D3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71F1D0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568644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</w:tr>
      <w:tr w:rsidR="00DF3989" w:rsidRPr="00C1045C" w14:paraId="57293F10" w14:textId="77777777" w:rsidTr="00232E75">
        <w:trPr>
          <w:trHeight w:val="603"/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2D8874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Χωρητικότητα Λεωφορείου τουλάχιστον δώ</w:t>
            </w:r>
            <w:r w:rsidRPr="00C1045C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el-GR"/>
              </w:rPr>
              <w:t xml:space="preserve">δεκα (12) επιβάτες και επιπλέον τον οδηγό του οχήματος. Να διαθέτει επαρκή χώρο για ένα αναπηρικό </w:t>
            </w:r>
            <w:proofErr w:type="spellStart"/>
            <w:r w:rsidRPr="00C1045C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el-GR"/>
              </w:rPr>
              <w:t>αμαξίδιο</w:t>
            </w:r>
            <w:proofErr w:type="spellEnd"/>
            <w:r w:rsidRPr="00C1045C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D8CEC5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80FC28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568B43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3A3C95B0" w14:textId="77777777" w:rsidTr="00232E75">
        <w:trPr>
          <w:trHeight w:val="603"/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652BB7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Διαχωριστικό μεταξύ οδηγού και επιβατών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4B02B2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319C5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F0496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5C640DBE" w14:textId="77777777" w:rsidTr="00232E75">
        <w:trPr>
          <w:trHeight w:val="648"/>
          <w:jc w:val="center"/>
        </w:trPr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474D4A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Ράμπα ΑMEΑ ηλεκτρική ή χειροκίνητη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6CED3E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D649CD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DA14FD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001D0A46" w14:textId="77777777" w:rsidTr="00232E75">
        <w:trPr>
          <w:trHeight w:val="648"/>
          <w:jc w:val="center"/>
        </w:trPr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701814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Το κάθισμα του οδηγού θα πρέπει να έχει τη δυνατότητα πολλαπλών ρυθμίσεων στήριξης, να διαθέτει προσκέφαλο, ζώνη ασφαλείας, υφασμάτινη ή τύπου δέρματος επένδυση μεγάλης αντοχής &amp; αερόσακο οδηγού.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5879E1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487293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602FF8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03E0F43D" w14:textId="77777777" w:rsidTr="00232E75">
        <w:trPr>
          <w:trHeight w:val="648"/>
          <w:jc w:val="center"/>
        </w:trPr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1FD659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Ρυθμίσεις Τιμονιού (κλίσης, ύψους, κ.λπ.). Ο πίνακας οργάνων εκτός των συμβατικών οργάνων θα πρέπει να έχει και όλα τα απαραίτητα όργανα πληροφόρησης, για την ηλεκτροκίνηση του λεωφορείου (κατάσταση μπαταριών, χρόνο έως την επόμενη φόρτιση κ.λπ.).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F1A01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458262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A7EAA1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77E704DF" w14:textId="77777777" w:rsidTr="00232E75">
        <w:trPr>
          <w:trHeight w:val="648"/>
          <w:jc w:val="center"/>
        </w:trPr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068227" w14:textId="77777777" w:rsidR="00DF3989" w:rsidRPr="00C1045C" w:rsidRDefault="00DF3989" w:rsidP="00232E75">
            <w:pPr>
              <w:spacing w:before="40" w:after="40"/>
              <w:rPr>
                <w:rFonts w:asciiTheme="minorHAnsi" w:eastAsia="SimSun" w:hAnsiTheme="minorHAnsi" w:cstheme="minorHAnsi"/>
                <w:color w:val="FF0000"/>
                <w:sz w:val="20"/>
                <w:szCs w:val="20"/>
                <w:lang w:val="el-GR"/>
              </w:rPr>
            </w:pPr>
            <w:bookmarkStart w:id="1" w:name="_Hlk119494684"/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Σύστημα Κλιματισμού (για οδηγό – καμπίνας)</w:t>
            </w:r>
            <w:bookmarkEnd w:id="1"/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BC02A2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BDF358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2D3F6D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4937B2B8" w14:textId="77777777" w:rsidTr="00232E75">
        <w:trPr>
          <w:trHeight w:val="648"/>
          <w:jc w:val="center"/>
        </w:trPr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B2DBC4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</w:t>
            </w:r>
            <w:bookmarkStart w:id="2" w:name="_Hlk119494669"/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υνατότητα για πλαϊνή ή/και πίσω πόρτα (εκτός του οδηγού). Επιπλέον, θα υπάρχει </w:t>
            </w:r>
            <w:proofErr w:type="spellStart"/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ανοιγόμενο</w:t>
            </w:r>
            <w:proofErr w:type="spellEnd"/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παράθυρο οδηγού, χειριστήρια εύκολα </w:t>
            </w:r>
            <w:proofErr w:type="spellStart"/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προσβάσιμα</w:t>
            </w:r>
            <w:proofErr w:type="spellEnd"/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, ραδιόφωνο και ψηφιακό σύστημα πολυμέσων.</w:t>
            </w:r>
            <w:bookmarkEnd w:id="2"/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A5D8AE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764308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F6701C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7DCF3945" w14:textId="77777777" w:rsidTr="00232E75">
        <w:trPr>
          <w:trHeight w:val="648"/>
          <w:jc w:val="center"/>
        </w:trPr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D020CC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Ελάχιστες διαστάσεις: Μήκος 6,2μ., Πλάτος 2,0μ. και Ύψος 2,7μ.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8717C9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A86697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749043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678771A2" w14:textId="77777777" w:rsidTr="00232E75">
        <w:trPr>
          <w:jc w:val="center"/>
        </w:trPr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D51197" w14:textId="77777777" w:rsidR="00DF3989" w:rsidRPr="00C1045C" w:rsidRDefault="00DF3989" w:rsidP="00232E75">
            <w:pPr>
              <w:pStyle w:val="a4"/>
              <w:numPr>
                <w:ilvl w:val="0"/>
                <w:numId w:val="1"/>
              </w:numPr>
              <w:suppressAutoHyphens w:val="0"/>
              <w:spacing w:before="40" w:after="4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ΚΙΝΗΤΗΡΑΣ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109BB5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323E07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827320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1CD4CBB8" w14:textId="77777777" w:rsidTr="00232E75">
        <w:trPr>
          <w:jc w:val="center"/>
        </w:trPr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1F39FA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el-GR"/>
              </w:rPr>
              <w:t xml:space="preserve">Ελάχιστη ισχύς λειτουργίας </w:t>
            </w:r>
            <w:r w:rsidRPr="00C1045C">
              <w:rPr>
                <w:rFonts w:asciiTheme="minorHAnsi" w:eastAsia="SimSun" w:hAnsiTheme="minorHAnsi" w:cstheme="minorHAnsi"/>
                <w:bCs/>
                <w:color w:val="000000"/>
                <w:sz w:val="20"/>
                <w:szCs w:val="20"/>
                <w:lang w:val="el-GR"/>
              </w:rPr>
              <w:t xml:space="preserve">55 </w:t>
            </w:r>
            <w:proofErr w:type="spellStart"/>
            <w:r w:rsidRPr="00C1045C">
              <w:rPr>
                <w:rFonts w:asciiTheme="minorHAnsi" w:eastAsia="SimSun" w:hAnsiTheme="minorHAnsi" w:cstheme="minorHAnsi"/>
                <w:bCs/>
                <w:color w:val="000000"/>
                <w:sz w:val="20"/>
                <w:szCs w:val="20"/>
                <w:lang w:val="el-GR"/>
              </w:rPr>
              <w:t>kW</w:t>
            </w:r>
            <w:proofErr w:type="spellEnd"/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001BC4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35EFEB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41C94F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67A2BA24" w14:textId="77777777" w:rsidTr="00232E75">
        <w:trPr>
          <w:jc w:val="center"/>
        </w:trPr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981A87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el-GR"/>
              </w:rPr>
              <w:t xml:space="preserve">Ελάχιστη ροπή λειτουργίας </w:t>
            </w:r>
            <w:r w:rsidRPr="00C1045C">
              <w:rPr>
                <w:rFonts w:asciiTheme="minorHAnsi" w:eastAsia="SimSun" w:hAnsiTheme="minorHAnsi" w:cstheme="minorHAnsi"/>
                <w:bCs/>
                <w:color w:val="000000"/>
                <w:sz w:val="20"/>
                <w:szCs w:val="20"/>
                <w:lang w:val="el-GR"/>
              </w:rPr>
              <w:t xml:space="preserve">200 </w:t>
            </w:r>
            <w:proofErr w:type="spellStart"/>
            <w:r w:rsidRPr="00C1045C">
              <w:rPr>
                <w:rFonts w:asciiTheme="minorHAnsi" w:eastAsia="SimSun" w:hAnsiTheme="minorHAnsi" w:cstheme="minorHAnsi"/>
                <w:bCs/>
                <w:color w:val="000000"/>
                <w:sz w:val="20"/>
                <w:szCs w:val="20"/>
                <w:lang w:val="el-GR"/>
              </w:rPr>
              <w:t>Nm</w:t>
            </w:r>
            <w:proofErr w:type="spellEnd"/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3E67DD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235350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400F9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23E8EB2A" w14:textId="77777777" w:rsidTr="00232E75">
        <w:trPr>
          <w:jc w:val="center"/>
        </w:trPr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CBF04F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Ταχύτητα ≥ 70 χλμ./ώρα 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CF02DA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AD6494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F82D2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0BC78A9F" w14:textId="77777777" w:rsidTr="00232E75">
        <w:trPr>
          <w:jc w:val="center"/>
        </w:trPr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92745D" w14:textId="77777777" w:rsidR="00DF3989" w:rsidRPr="00C1045C" w:rsidRDefault="00DF3989" w:rsidP="00232E75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ΜΠΑΤΑΡΙΑ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C1045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C1045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ΣΥΣΤΗΜΑ ΦΟΡΤΙΣΗΣ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86DFEA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48DC77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3E8D82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31579D22" w14:textId="77777777" w:rsidTr="00232E75">
        <w:trPr>
          <w:jc w:val="center"/>
        </w:trPr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1DB9CD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Χωρητικότητα Συσσωρευτή ≥ 52 </w:t>
            </w:r>
            <w:proofErr w:type="spellStart"/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kWh</w:t>
            </w:r>
            <w:proofErr w:type="spellEnd"/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6D9E40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5CE09B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217A24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1DB04C51" w14:textId="77777777" w:rsidTr="00232E75">
        <w:trPr>
          <w:jc w:val="center"/>
        </w:trPr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33E3F7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Αυτονομία ≥ 150 χλμ./φόρτιση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BD4091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62B93E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694CB2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3CF74F98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6C7873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90C0C"/>
                <w:sz w:val="20"/>
                <w:szCs w:val="20"/>
                <w:shd w:val="clear" w:color="auto" w:fill="FFFFFF"/>
                <w:lang w:val="el-GR"/>
              </w:rPr>
              <w:t xml:space="preserve">Τριφασικός, ενσωματωμένος φορτιστής </w:t>
            </w: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≥ </w:t>
            </w:r>
            <w:r w:rsidRPr="00C1045C">
              <w:rPr>
                <w:rFonts w:asciiTheme="minorHAnsi" w:hAnsiTheme="minorHAnsi" w:cstheme="minorHAnsi"/>
                <w:color w:val="090C0C"/>
                <w:sz w:val="20"/>
                <w:szCs w:val="20"/>
                <w:shd w:val="clear" w:color="auto" w:fill="FFFFFF"/>
                <w:lang w:val="el-GR"/>
              </w:rPr>
              <w:t xml:space="preserve">7 </w:t>
            </w:r>
            <w:proofErr w:type="spellStart"/>
            <w:r w:rsidRPr="00C1045C">
              <w:rPr>
                <w:rFonts w:asciiTheme="minorHAnsi" w:hAnsiTheme="minorHAnsi" w:cstheme="minorHAnsi"/>
                <w:color w:val="090C0C"/>
                <w:sz w:val="20"/>
                <w:szCs w:val="20"/>
                <w:shd w:val="clear" w:color="auto" w:fill="FFFFFF"/>
                <w:lang w:val="el-GR"/>
              </w:rPr>
              <w:t>kW</w:t>
            </w:r>
            <w:proofErr w:type="spellEnd"/>
            <w:r w:rsidRPr="00C1045C">
              <w:rPr>
                <w:rFonts w:asciiTheme="minorHAnsi" w:hAnsiTheme="minorHAnsi" w:cstheme="minorHAnsi"/>
                <w:color w:val="090C0C"/>
                <w:sz w:val="20"/>
                <w:szCs w:val="20"/>
                <w:shd w:val="clear" w:color="auto" w:fill="FFFFFF"/>
                <w:lang w:val="el-GR"/>
              </w:rPr>
              <w:t xml:space="preserve"> AC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559005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82EB28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84211E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72481C89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B54FEF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bookmarkStart w:id="3" w:name="_Hlk119495103"/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Δυνατότητα φόρτισης με εξωτερικό φορτιστή τουλάχιστον με ≥ 22 </w:t>
            </w:r>
            <w:proofErr w:type="spellStart"/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kW</w:t>
            </w:r>
            <w:proofErr w:type="spellEnd"/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bookmarkEnd w:id="3"/>
            <w:r w:rsidRPr="00C104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</w:t>
            </w: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C87C3C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52DFBE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E3C9D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644D06C6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7BBB3D" w14:textId="77777777" w:rsidR="00DF3989" w:rsidRPr="00C1045C" w:rsidRDefault="00DF3989" w:rsidP="00232E7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Χρόνος φόρτισης έως 8 ώρες (με 7kW AC)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CAFC95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48CFC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57AB21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7EA95B27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09C872" w14:textId="77777777" w:rsidR="00DF3989" w:rsidRPr="00C1045C" w:rsidRDefault="00DF3989" w:rsidP="00232E75">
            <w:pPr>
              <w:pStyle w:val="a3"/>
              <w:overflowPunct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Ηλεκτρονικό σύστημα ανάκτησης ενέργειας (κατά την διάρκεια φρεναρίσματος &amp; επιβράδυνσης του οχήματος – </w:t>
            </w:r>
            <w:bookmarkStart w:id="4" w:name="_Hlk119495368"/>
            <w:proofErr w:type="spellStart"/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regenerative</w:t>
            </w:r>
            <w:proofErr w:type="spellEnd"/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braking</w:t>
            </w:r>
            <w:proofErr w:type="spellEnd"/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</w:t>
            </w:r>
            <w:bookmarkEnd w:id="4"/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BBA8B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04D8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7ADE27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30E6E0EE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1AD0F8" w14:textId="77777777" w:rsidR="00DF3989" w:rsidRPr="00C1045C" w:rsidRDefault="00DF3989" w:rsidP="00232E75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ΣΥΣΤΗΜΑ ΠΕΔΗΣΗΣ / ΦΡΕΝΑ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CF7FDB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68AC28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A14BD3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2C3EE3EB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4FC6EE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bookmarkStart w:id="5" w:name="_Hlk119495508"/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Υδραυλικό σύστημα με δισκόφρενα, ABS με EBD, σύστημα ευστάθειας, </w:t>
            </w:r>
            <w:proofErr w:type="spellStart"/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κτλ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bookmarkEnd w:id="5"/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8F6258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BC8131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B5099F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1E2C6BEA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BA68F8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Χειρόφρενο 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59A738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70E0DF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6F701B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60DCD4CC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34BB03" w14:textId="77777777" w:rsidR="00DF3989" w:rsidRPr="00C1045C" w:rsidRDefault="00DF3989" w:rsidP="00232E75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ΣΥΣΤΗΜΑ ΜΕΤΑΔΟΣΗΣ ΚΙΝΗΣΗΣ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F7351C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D56E7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BBACB0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48D09580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DC6F6D" w14:textId="77777777" w:rsidR="00DF3989" w:rsidRPr="00C1045C" w:rsidRDefault="00DF3989" w:rsidP="00232E75">
            <w:pPr>
              <w:pStyle w:val="a3"/>
              <w:overflowPunct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Αυτόματο Κιβώτιο Ταχυτήτων (μιας σχέσης)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AB6FDB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EEF46F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2411EC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2BE7AF00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0438A1" w14:textId="77777777" w:rsidR="00DF3989" w:rsidRPr="00C1045C" w:rsidRDefault="00DF3989" w:rsidP="00232E75">
            <w:pPr>
              <w:pStyle w:val="a3"/>
              <w:overflowPunct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  <w:bookmarkStart w:id="6" w:name="_Hlk119495440"/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Αναρριχητική Ικανότητα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≥15 %</w:t>
            </w:r>
            <w:bookmarkEnd w:id="6"/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FD25E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A39EE1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12EBA9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3706A829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316F89" w14:textId="77777777" w:rsidR="00DF3989" w:rsidRPr="00C1045C" w:rsidRDefault="00DF3989" w:rsidP="00232E75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ΣΥΣΤΗΜΑ ΔΙΕΥΘΥΝΣΗΣ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90C11E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4DA0E5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225AEA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1FBBAB83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6E0F21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Τιμόνι στα αριστερά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71D7C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42F63D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ED53FC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4A5B1D9C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AF8692" w14:textId="77777777" w:rsidR="00DF3989" w:rsidRPr="00C1045C" w:rsidRDefault="00DF3989" w:rsidP="00232E75">
            <w:pPr>
              <w:spacing w:before="40" w:after="40"/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Τιμόνι υδραυλικό ή ηλεκτρικά υποβοηθούμενο 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CA81E7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E6664A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EF09E4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64D53D93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8BC2D7" w14:textId="77777777" w:rsidR="00DF3989" w:rsidRPr="00C1045C" w:rsidRDefault="00DF3989" w:rsidP="00232E75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ΣΥΣΤΗΜΑ ΑΝΑΡΤΗΣΗΣ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BE826E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9E8503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618FC5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2B00F74C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A81567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Ανεξάρτητου τύπου ανάρτηση εμπρός / πίσω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4A0AED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91FF44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FA8D0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695827C9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1BE976" w14:textId="77777777" w:rsidR="00DF3989" w:rsidRPr="00C1045C" w:rsidRDefault="00DF3989" w:rsidP="00232E75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ΕΓΓΥΗΣΕΙΣ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D83F50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01CC09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FD454C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430A97A3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FB262E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Δύο (2) έτη εγγύηση Οχήματος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F49C9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27F34B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AD650E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752AE6C1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6821FC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Για τις μπαταρίες και το σύστημα φόρτισης του οχήματος η εγγύηση καλής λειτουργίας θα πρέπει να είναι πέντε (5) έτη ή 100.000 χιλιόμετρα, όποιο από τα δύο παρέλθει πρώτο.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EC64E4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E735FB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0E85AD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1BB9C93E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E38110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bookmarkStart w:id="7" w:name="_Hlk119495889"/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Δώδεκα (12) έτη εγγύηση αμαξώματος κατά της διάτρησης</w:t>
            </w:r>
            <w:bookmarkEnd w:id="7"/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DAFB88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F07D81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0B8352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2D5E63EE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6A0B17" w14:textId="77777777" w:rsidR="00DF3989" w:rsidRPr="00C1045C" w:rsidRDefault="00DF3989" w:rsidP="00232E7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Για την περίοδο εγγυημένης λειτουργίας ο ανάδοχος:</w:t>
            </w:r>
          </w:p>
          <w:p w14:paraId="1C385AB5" w14:textId="77777777" w:rsidR="00DF3989" w:rsidRPr="00C1045C" w:rsidRDefault="00DF3989" w:rsidP="00232E75">
            <w:pPr>
              <w:pStyle w:val="a4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Ευθύνεται για την καλή λειτουργία όλων των ειδών της προμήθειας</w:t>
            </w:r>
          </w:p>
          <w:p w14:paraId="38FC9411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Προβαίνει στην προβλεπόμενη συντήρηση και την αποκατάσταση κάθε βλάβης με έντεχνο τρόπο και σε εύλογο χρόνο σε συνεννόηση με την αναθέτουσα αρχή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C92080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F09D8C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D8F5E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754F909D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2C601B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Δεκαετής (10) Διαθεσιμότητα Ανταλλακτικών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6F9997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640F0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A11280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77BCA0E6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6BC841" w14:textId="77777777" w:rsidR="00DF3989" w:rsidRPr="00C1045C" w:rsidRDefault="00DF3989" w:rsidP="00232E75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ΒΙΒΛΙΑ ΚΑΤΑΣΚΕΥΑΣΤΗ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E2AC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EBBA82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5ED921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2CE31C62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759690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Εγχειρίδιο Οδηγιών Χρήσης &amp; Συντήρησης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1DC14B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8D2FD1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0290A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4F1ABC98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C49479" w14:textId="77777777" w:rsidR="00DF3989" w:rsidRPr="00C1045C" w:rsidRDefault="00DF3989" w:rsidP="00232E75">
            <w:pPr>
              <w:pStyle w:val="a3"/>
              <w:overflowPunct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Ελληνική ή Αγγλική Γλώσσα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80BAA0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846FB5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BE3597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64B993BE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1EBC9" w14:textId="77777777" w:rsidR="00DF3989" w:rsidRPr="00C1045C" w:rsidRDefault="00DF3989" w:rsidP="00232E75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ΕΚΠΑΙΔΕΥΣΗ ΠΡΟΣΩΠΙΚΟΥ ΔΗΜΟΥ ΗΡΑΚΛΕΙΟΥ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7F4C51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9FB882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764172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7D42ABD2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65DE5A" w14:textId="77777777" w:rsidR="00DF3989" w:rsidRPr="00C1045C" w:rsidRDefault="00DF3989" w:rsidP="00232E75">
            <w:pPr>
              <w:pStyle w:val="a3"/>
              <w:overflowPunct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Εκπαίδευση προσωπικού με κόστος του αναδόχου σύμφωνα με τα οριζόμενα στο Παράρτημα Ι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1005F9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C2152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B217AA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614511C2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C69A0B" w14:textId="77777777" w:rsidR="00DF3989" w:rsidRPr="00C1045C" w:rsidRDefault="00DF3989" w:rsidP="00232E75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ΠΡΟΤΥΠΑ ΚΑΙ ΛΟΙΠΕΣ ΑΠΑΙΤΗΣΕΙΣ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104A20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F874F5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ABC8DA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2B302065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C73304" w14:textId="77777777" w:rsidR="00DF3989" w:rsidRPr="00C1045C" w:rsidRDefault="00DF3989" w:rsidP="00232E7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Το όχημα θα φέρει υποχρεωτικά, φαρμακείο, πυροσβεστήρα και τρίγωνο κατά Κ.Ο.Κ. και βασικά εργαλεία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FCFDBD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9F1AF9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DA77BA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44E642F6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7860D" w14:textId="77777777" w:rsidR="00DF3989" w:rsidRPr="00C1045C" w:rsidRDefault="00DF3989" w:rsidP="00232E7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l-GR"/>
              </w:rPr>
            </w:pPr>
            <w:bookmarkStart w:id="8" w:name="_Hlk119496075"/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 Ανάδοχος, κατά την παράδοση του λεωφορείου, θα παραδώσει το απαιτούμενο υλικό που συνοδεύει το όχημα, όπως ευρωπαϊκή έγκριση τύπου ή ό,τι άλλο έγγραφο/πιστοποίηση απαιτείται, ώστε ο Δήμος να προχωρήσει στην έκδοση της άδειας κυκλοφορίας και πινακίδων του λεωφορείου.</w:t>
            </w:r>
            <w:bookmarkEnd w:id="8"/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BE85E0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22C49A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DD4D2C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0FA2B325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A3B720" w14:textId="77777777" w:rsidR="00DF3989" w:rsidRPr="00C1045C" w:rsidRDefault="00DF3989" w:rsidP="00232E75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ΧΡΩΜΑ / ΛΟΓΟΤΥΠΑ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B5312D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2C4A10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2222ED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1FEA2E13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BF4C22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Το χρώμα θα ορισθεί από τον Δήμο Ηρακλείου κατόπιν συνεννόησης με τον ανάδοχο.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D8AF50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CA4663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FB11E4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6DF962B1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F644FF" w14:textId="77777777" w:rsidR="00DF3989" w:rsidRPr="00C1045C" w:rsidRDefault="00DF3989" w:rsidP="00232E75">
            <w:pPr>
              <w:pStyle w:val="a3"/>
              <w:overflowPunct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Τα λογότυπα που θα φέρουν τα λεωφορεία θα ορισθούν κατόπιν συνεννοήσεως με την Αναθέτουσα Αρχή 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1F063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2FC248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3D267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73669801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4C1ABD" w14:textId="77777777" w:rsidR="00DF3989" w:rsidRPr="00C1045C" w:rsidRDefault="00DF3989" w:rsidP="00232E75">
            <w:pPr>
              <w:pStyle w:val="a3"/>
              <w:overflowPunct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AA70A4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B03552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A5A49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37CB66DB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E2575F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Α.2 ΣΤΑΘΜΟΣ ΦΟΡΤΙΣΗΣ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3EBED7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2C0417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A5B2DB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2DB7D1A3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35BD99" w14:textId="77777777" w:rsidR="00DF3989" w:rsidRPr="00C1045C" w:rsidRDefault="00DF3989" w:rsidP="00232E75">
            <w:pPr>
              <w:spacing w:before="40" w:after="40"/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Σταθμός φόρτισης 2x22 </w:t>
            </w:r>
            <w:proofErr w:type="spellStart"/>
            <w:r w:rsidRPr="00C1045C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val="el-GR"/>
              </w:rPr>
              <w:t>kW</w:t>
            </w:r>
            <w:proofErr w:type="spellEnd"/>
            <w:r w:rsidRPr="00C1045C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AC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B7487C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6495D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515F2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7092D140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F22344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val="el-GR"/>
              </w:rPr>
              <w:t>Καινούργιος και σε πλήρη λειτουργική κατάσταση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3FEBBB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31A82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5CC232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113095DF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728354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Δυνατότητα ταυτόχρονης φόρτισης δύο ηλεκτρικών αυτοκινήτων, σύμφωνα με τη Μέθοδο 3 (</w:t>
            </w:r>
            <w:proofErr w:type="spellStart"/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Mode</w:t>
            </w:r>
            <w:proofErr w:type="spellEnd"/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3)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2509C2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F3FB98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07BED4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186B2277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F25119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Δυνατότητα τροφοδοσίας από μία παροχή 22kW ΑC με μηχανισμό διαμοιρασμού της διαθέσιμης ισχύος μεταξύ των δύο ρευματοδοτών κατά τη διάρκεια ταυτόχρονης φόρτισης δύο αυτοκινήτων με μέγιστη ισχύ φόρτισης 11kW/όχημα ή τη φόρτιση ενός οχήματος μέχρι και με 22kW AC.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1DF1B0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CDE353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96C0B2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64FD406E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15F2BD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Δύο ρευματοδότες Τύπου 2, σύμφωνα με το πρότυπο IEC 62196-2, με μέγιστη ονομαστική ισχύ εξόδου 22kW ανά ρευματοδότη και μέγιστο ρεύμα 32 Α ανά φάση για κάθε ρευματοδότη.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0E2FC1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4AB298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21C8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274E442A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9DB09F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Καπάκι προστασίας σε κάθε ρευματοδότη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8DBCD8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9298B1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F87933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7BAA6027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99C04D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Προστασία σταθμού φόρτισης κατ’ ελάχιστον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IP 54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72F090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838CB2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B95979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213675E4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37B945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Βαθμός αντοχής σε κρούση IK 08 κατ’ ελάχιστον, αλλά ΙΚ10 στην πρόσοψη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CB64B5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E3490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7539C7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09CB3E92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556333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Πρόνοιες και απαραίτητες διατάξεις ασφαλείας για ηλεκτρολογική εγκατάσταση εκτεθειμένη στο εξωτερικό περιβάλλον και στους περαστικούς.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B7E49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B8796F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1752AB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7EE3B68E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2C0F59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Ικανότητα για λειτουργία σε εύρος θερμοκρασίας: - 25°C μέχρι +50°C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55BEE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8930CE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2231F8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50DBC3C1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DF6006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Ικανότητα για λειτουργία σε εύρος σχετικής υγρασίας: 4%-95%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73722A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EF80A3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26C838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6705A31B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F1962D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Για κάθε ρευματοδότη ενσωματωμένος μετρητής ενέργειας με πιστοποίηση ΜID, σύμφωνα με την Οδηγία 2014/32 EU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1AEA0D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91ED47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48C6F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36BF81B1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4F378C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Ενσωματωμένο </w:t>
            </w:r>
            <w:proofErr w:type="spellStart"/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router</w:t>
            </w:r>
            <w:proofErr w:type="spellEnd"/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GSM / GPRS / 3G / 4G για την επικοινωνία του σταθμού με πλατφόρμα διαχείρισης μέσω δικτύου κινητής τηλεφωνίας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12CF8D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B117F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F0F3A4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1184D931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DF3618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Διαθέτει </w:t>
            </w:r>
            <w:proofErr w:type="spellStart"/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Wifi</w:t>
            </w:r>
            <w:proofErr w:type="spellEnd"/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2B375E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F80CB5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0C4376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10ED3EB7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8CDFAE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Να υποστηρίζεται με σύστημα παρακολούθησης κατανάλωσης ηλεκτρικής ενέργειας: Διασύνδεση με διαδικτυακή πλατφόρμα η οποία θα διαθέτει υπηρεσία αποθήκευσης μετρήσεων κατανάλωσης ενέργειας σε ωριαία βάση και σε βάθος χρόνου τουλάχιστον τριάντα (30) ημερών, υπηρεσία αναμετάδοσης των μετρήσεων κατανάλωσης ενέργειας και υπηρεσία </w:t>
            </w:r>
            <w:proofErr w:type="spellStart"/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οπτικοποίησης</w:t>
            </w:r>
            <w:proofErr w:type="spellEnd"/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, διαχείρισης και εξαγωγής των μετρήσεων κατανάλωσης ενέργειας σε χρονικό βήμα και σε βάθος χρόνου (τουλάχιστον εντός των προαναφερόμενων δυνατοτήτων χρονικού βήματος και βάθος χρόνου) κατά βούληση του χρήστη μέσω Η/Υ.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6DD680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CAC07F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47935D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73AE46B0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8BA38E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Εφαρμογή των λογοτύπων που θα υποδειχθούν από την Αναθέτουσα Αρχή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0E7DD1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FD7EE2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F99AA4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240B09D5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DAC838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Εγχειρίδιο με οδηγίες και ειδικές απαιτήσεις χρήσης και συντήρησης του σταθμού φόρτισης στην Ελληνική γλώσσα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3FF6F8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F24DDA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A18227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3B21EF9F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84E6ED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Εκπαίδευση προσωπικού που θα υποδείξει η Αναθέτουσα Αρχή με κόστος του αναδόχου σύμφωνα με τα οριζόμενα στο Παράρτημα Ι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9BF4EE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101857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829F30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DF3989" w:rsidRPr="00C1045C" w14:paraId="04285E1B" w14:textId="77777777" w:rsidTr="00232E75">
        <w:trPr>
          <w:jc w:val="center"/>
        </w:trPr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F271EB" w14:textId="77777777" w:rsidR="00DF3989" w:rsidRPr="00C1045C" w:rsidRDefault="00DF3989" w:rsidP="00232E7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Εγγύηση καλής λειτουργίας 36 μηνών του κατασκευαστή του φορτιστή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08FEF7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1045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2A2537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E2A6DE" w14:textId="77777777" w:rsidR="00DF3989" w:rsidRPr="00C1045C" w:rsidRDefault="00DF3989" w:rsidP="00232E75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14:paraId="5017933E" w14:textId="77777777" w:rsidR="00B5566D" w:rsidRDefault="00B5566D"/>
    <w:sectPr w:rsidR="00B556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26221"/>
    <w:multiLevelType w:val="hybridMultilevel"/>
    <w:tmpl w:val="760C14FC"/>
    <w:lvl w:ilvl="0" w:tplc="521C8B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D87013"/>
    <w:multiLevelType w:val="hybridMultilevel"/>
    <w:tmpl w:val="A760BB1C"/>
    <w:lvl w:ilvl="0" w:tplc="4A1CA3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27"/>
    <w:rsid w:val="00783627"/>
    <w:rsid w:val="00B5566D"/>
    <w:rsid w:val="00D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1C201-DAC9-4348-86D9-53B1FEA0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98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F3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DF398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F3989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Body Text"/>
    <w:basedOn w:val="a"/>
    <w:link w:val="Char"/>
    <w:uiPriority w:val="99"/>
    <w:qFormat/>
    <w:rsid w:val="00DF3989"/>
    <w:pPr>
      <w:spacing w:after="240"/>
    </w:pPr>
  </w:style>
  <w:style w:type="character" w:customStyle="1" w:styleId="Char">
    <w:name w:val="Σώμα κειμένου Char"/>
    <w:basedOn w:val="a0"/>
    <w:link w:val="a3"/>
    <w:uiPriority w:val="99"/>
    <w:rsid w:val="00DF3989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List Paragraph"/>
    <w:aliases w:val="Γράφημα,Kommentar,FooterText,numbered,Paragraphe de liste1,lp1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DF3989"/>
    <w:pPr>
      <w:spacing w:after="200"/>
      <w:ind w:left="720"/>
      <w:contextualSpacing/>
    </w:pPr>
    <w:rPr>
      <w:rFonts w:cs="Times New Roman"/>
    </w:rPr>
  </w:style>
  <w:style w:type="character" w:customStyle="1" w:styleId="Char0">
    <w:name w:val="Παράγραφος λίστας Char"/>
    <w:aliases w:val="Γράφημα Char,Kommentar Char,FooterText Char,numbered Char,Paragraphe de liste1 Char,lp1 Char,Diligence Check Char,Bullet2 Char,Bullet21 Char,bl1 Char,Bullet22 Char,Bullet23 Char,Bullet211 Char,Bullet24 Char,Bullet25 Char,bl11 Char"/>
    <w:link w:val="a4"/>
    <w:uiPriority w:val="34"/>
    <w:qFormat/>
    <w:rsid w:val="00DF3989"/>
    <w:rPr>
      <w:rFonts w:ascii="Calibri" w:eastAsia="Times New Roman" w:hAnsi="Calibri" w:cs="Times New Roman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DF3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5522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tzanidakis</dc:creator>
  <cp:keywords/>
  <dc:description/>
  <cp:lastModifiedBy>Vasilis tzanidakis</cp:lastModifiedBy>
  <cp:revision>2</cp:revision>
  <dcterms:created xsi:type="dcterms:W3CDTF">2023-08-18T08:18:00Z</dcterms:created>
  <dcterms:modified xsi:type="dcterms:W3CDTF">2023-08-18T08:18:00Z</dcterms:modified>
</cp:coreProperties>
</file>